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6A" w:rsidRDefault="00EA0342" w:rsidP="001B0EFC">
      <w:pPr>
        <w:shd w:val="clear" w:color="auto" w:fill="FFFFFF"/>
        <w:autoSpaceDE w:val="0"/>
        <w:autoSpaceDN w:val="0"/>
        <w:adjustRightInd w:val="0"/>
        <w:spacing w:after="0" w:line="240" w:lineRule="auto"/>
        <w:ind w:left="1985" w:hanging="127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b/>
          <w:sz w:val="28"/>
          <w:szCs w:val="28"/>
        </w:rPr>
        <w:t>Лекция 3</w:t>
      </w:r>
      <w:r w:rsidR="0016211B" w:rsidRPr="0016211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2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Стратиграфия палеозоя и триаса</w:t>
      </w:r>
      <w:r w:rsidR="00DC4A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40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Восточно-Европейской</w:t>
      </w:r>
      <w:bookmarkStart w:id="0" w:name="_GoBack"/>
      <w:bookmarkEnd w:id="0"/>
    </w:p>
    <w:p w:rsidR="0016211B" w:rsidRDefault="00EA0342" w:rsidP="001B0EFC">
      <w:pPr>
        <w:shd w:val="clear" w:color="auto" w:fill="FFFFFF"/>
        <w:autoSpaceDE w:val="0"/>
        <w:autoSpaceDN w:val="0"/>
        <w:adjustRightInd w:val="0"/>
        <w:spacing w:after="0" w:line="240" w:lineRule="auto"/>
        <w:ind w:left="1985" w:hanging="127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платформы</w:t>
      </w:r>
    </w:p>
    <w:p w:rsidR="00EA0342" w:rsidRPr="0016211B" w:rsidRDefault="00EA0342" w:rsidP="00DC4A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0C35" w:rsidRDefault="006B0C35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iCs/>
          <w:color w:val="000000"/>
          <w:sz w:val="28"/>
          <w:szCs w:val="28"/>
        </w:rPr>
        <w:t>3.1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Ранний палеозой</w:t>
      </w:r>
    </w:p>
    <w:p w:rsidR="006B0C35" w:rsidRDefault="006B0C35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3.2 Девон</w:t>
      </w:r>
    </w:p>
    <w:p w:rsidR="006B0C35" w:rsidRDefault="006B0C35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3.3 Поздний палеозой</w:t>
      </w:r>
    </w:p>
    <w:p w:rsidR="006B0C35" w:rsidRDefault="006B0C35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3.4 Триас</w:t>
      </w:r>
    </w:p>
    <w:p w:rsidR="006B0C35" w:rsidRPr="006B0C35" w:rsidRDefault="006B0C35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6B0C35" w:rsidRPr="006B0C35" w:rsidRDefault="006B0C35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b/>
          <w:iCs/>
          <w:color w:val="000000"/>
          <w:sz w:val="28"/>
          <w:szCs w:val="28"/>
        </w:rPr>
        <w:t>3.1 Ранний палеозой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Отложения кембрийской системы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главным образом нижним отделом.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Отложения нижнего кембрия распространены в Балтийской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синеклизе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в раннем кембрии раскрывалась далеко к западу, отделив структуры Балтийского щита от структур Белорусского поднятия. Обнажения кембрия имеются только в районе так называемого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глинта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но под покровом более молодых образований они прослежены бурением и восточнее, вплоть до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мана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>. Другая область развития кембрийских отложений на поверхности ра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он Днестровского прогиба </w:t>
      </w:r>
      <w:r w:rsidRPr="009B7672">
        <w:rPr>
          <w:rFonts w:ascii="Times New Roman" w:hAnsi="Times New Roman" w:cs="Times New Roman"/>
          <w:sz w:val="28"/>
          <w:szCs w:val="28"/>
        </w:rPr>
        <w:t xml:space="preserve">(рис. </w:t>
      </w:r>
      <w:r w:rsidR="009B7672" w:rsidRPr="009B7672">
        <w:rPr>
          <w:rFonts w:ascii="Times New Roman" w:hAnsi="Times New Roman" w:cs="Times New Roman"/>
          <w:sz w:val="28"/>
          <w:szCs w:val="28"/>
        </w:rPr>
        <w:t>3.1</w:t>
      </w:r>
      <w:r w:rsidRPr="009B7672">
        <w:rPr>
          <w:rFonts w:ascii="Times New Roman" w:hAnsi="Times New Roman" w:cs="Times New Roman"/>
          <w:sz w:val="28"/>
          <w:szCs w:val="28"/>
        </w:rPr>
        <w:t>).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Нижнекембрийскне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представлены морскими фациями ме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кого эпиконтинентального моря нормальной солености. Наиболее характе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ный разрез кембрия обнажен в крутом обрыве южного побережья Финского залива, где выше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ламинаритовых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слоев верхнего венда согласно залегают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надламинаритовые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песчаники, относящиеся уже к кембрию. Они согласно</w:t>
      </w:r>
      <w:r w:rsidR="000906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сменяются толщей так называемых «синих глин». Выше залегают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эофитон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вые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пески, песчаники и слоистые глины с остатками водорослей </w:t>
      </w:r>
      <w:proofErr w:type="spellStart"/>
      <w:r w:rsidRPr="000906B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Eophyton</w:t>
      </w:r>
      <w:proofErr w:type="spellEnd"/>
      <w:r w:rsidR="000906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51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Разрез нижнего кембрия заканчивается серыми косослоистыми песками и песчаниками с прослоями глин. Мощность нижнекембрийских отложений, вскрытых скважинами в Балтийском прогибе, не превышает </w:t>
      </w:r>
      <w:smartTag w:uri="urn:schemas-microsoft-com:office:smarttags" w:element="metricconverter">
        <w:smartTagPr>
          <w:attr w:name="ProductID" w:val="500 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500 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>Таким образом, в кембрийский период мелководное море существовало только на западе платформы, и то преимущественно в раннюю эпоху этого периода. Но Балтийский прогиб расширялся в западном направлении в ст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рону Литвы, Калининграда и Балтийского моря, где мощность кембрийских</w:t>
      </w:r>
      <w:r w:rsidR="00551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отложений увеличивается. Морские условия существовали и в Днестровском прогибе, тогда как вся остальная территория платформы была приподнятой сушей. Следовательно, имели место резкое сокращение морского бассейна к концу раннего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началу среднего кембрия и перерыв в осадконакоплении, приходящийся на средний и частично на поздний кембрий. Несмотря на по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нятия, имевшие место в позднем кембрии, в ордовикский и силурийский п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риоды структурный план сохранился почти без изменений.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 начале </w:t>
      </w:r>
      <w:r w:rsidRPr="0016211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ордовикского периода</w:t>
      </w:r>
      <w:r w:rsidRPr="001621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широтного Балтийского прогиба вновь происходят опускания и с запада море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трансгрессирует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на в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сток, распространяясь примерно до меридиана Ярославля, а на юге — до ш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роты Вильнюса. Морские условия существовали и в Днестровском прогибе. В Прибалтике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ордовик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представлен</w:t>
      </w:r>
      <w:proofErr w:type="gram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морскими терригенными отложениями в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нижней части, терригенно-карбонатными в средней и карбонатными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 верхней. В них встречается исключительно богатая и разнообразная фауна трилобитов, граптолитов, кораллов, табулят,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брахиопод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мшанок и других организмов, существовавших в условиях теплого мелкого моря. Наиболее полные разрезы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ордовика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описаны в северном борту Балтийского прогиба в Эстонии, где выделяются все ярусы этой системы. Мощность отложений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довика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не превышает </w:t>
      </w:r>
      <w:smartTag w:uri="urn:schemas-microsoft-com:office:smarttags" w:element="metricconverter">
        <w:smartTagPr>
          <w:attr w:name="ProductID" w:val="0,3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0,3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На юго-западе, в Днестровском прогибе, разрез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ордовика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 маломощной (первые десятки метров) толщей глауконитовых песчаников и известняков. Вся остальная территория платформы в ордовикский период была приподнятой.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 </w:t>
      </w:r>
      <w:r w:rsidRPr="0016211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силурийском периоде</w:t>
      </w:r>
      <w:r w:rsidRPr="001621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на западе платформы продолжал существовать Балтийский прогиб, еще более сократившийся в своих размерах (рис. 5). В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сточнее поперечного поднятия (Латвийской седловины) море не проникало. На юго-западе силурийские отложения известны также в Приднестровье. Они представлены исключительно карбонатными и карбонатно-глинистыми породами: известняками различной окраски, тонкослоистыми мергелями, реже глинами, в которых встречена обильная и разнообразная фауна. Мо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ность силурийских отложений в Эстонии не превышает </w:t>
      </w:r>
      <w:smartTag w:uri="urn:schemas-microsoft-com:office:smarttags" w:element="metricconverter">
        <w:smartTagPr>
          <w:attr w:name="ProductID" w:val="0,1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0,1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но к западу увеличивается (в Северной Польше — более </w:t>
      </w:r>
      <w:smartTag w:uri="urn:schemas-microsoft-com:office:smarttags" w:element="metricconverter">
        <w:smartTagPr>
          <w:attr w:name="ProductID" w:val="2,5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2,5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). В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Подолии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в районе Львова мощность силура достигает 0,5—0,7 км. Судя по одинаковому хара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теру фауны в Балтийском и Днестровском прогибах, эти морские бассейны соединялись где-то северо-западнее, на территории Польши.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>В силуре преобладают отложения открытого мелководного моря, и только по восточным окраинам морского бассейна были развиты прибре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ные фации. С течением времени область поднятий, охватившая большую часть платформы, расширилась и море, отступив к западу в позднем силуре, почти полностью покинуло ее пределы.</w:t>
      </w:r>
    </w:p>
    <w:p w:rsidR="006B0C35" w:rsidRPr="006B0C35" w:rsidRDefault="006B0C35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b/>
          <w:iCs/>
          <w:color w:val="000000"/>
          <w:sz w:val="28"/>
          <w:szCs w:val="28"/>
        </w:rPr>
        <w:t>3.2 Девон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 течение </w:t>
      </w:r>
      <w:r w:rsidRPr="0016211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раннего девона</w:t>
      </w:r>
      <w:r w:rsidRPr="001621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Русская плита характеризовалась высоким стоянием, незначительно прогибались лишь ее крайние западные и восто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ные районы, где встречаются маломощные отложения этого возраста.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proofErr w:type="gramStart"/>
      <w:r w:rsidRPr="0016211B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Среднедевонский-верхнетриасовый</w:t>
      </w:r>
      <w:proofErr w:type="gramEnd"/>
      <w:r w:rsidRPr="0016211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комплекс.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i/>
          <w:color w:val="000000"/>
          <w:sz w:val="28"/>
          <w:szCs w:val="28"/>
        </w:rPr>
        <w:t>В среднедевонскую эпоху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начинает формироваться новый структурный план, сохранившийся в общих чертах почти до конца палеозоя и характер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зовавший герцинский этап развития платформы, в течение которого преобл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дали погружения, особенно в восточной ее половине. 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 позднем палеозое Русская платформа развивалась в тесной связи с Уральской геосинклинальной областью.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Прогибание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последней сопровожд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лось значительным </w:t>
      </w:r>
      <w:proofErr w:type="spellStart"/>
      <w:proofErr w:type="gram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прогибанием</w:t>
      </w:r>
      <w:proofErr w:type="spellEnd"/>
      <w:proofErr w:type="gram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восточной части платформы, и здесь, раньше чем в других областях платформы развивались широкие тран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грессии и происходи</w:t>
      </w:r>
      <w:r w:rsidR="003C7BDE">
        <w:rPr>
          <w:rFonts w:ascii="Times New Roman" w:hAnsi="Times New Roman" w:cs="Times New Roman"/>
          <w:color w:val="000000"/>
          <w:sz w:val="28"/>
          <w:szCs w:val="28"/>
        </w:rPr>
        <w:t>ло интенсивное осадконакопление</w:t>
      </w:r>
      <w:r w:rsidRPr="0016211B">
        <w:rPr>
          <w:rFonts w:ascii="Times New Roman" w:hAnsi="Times New Roman" w:cs="Times New Roman"/>
          <w:sz w:val="28"/>
          <w:szCs w:val="28"/>
        </w:rPr>
        <w:t xml:space="preserve">.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Когда же в конце п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леозоя в Уральской геосинклинальной области поднялись горные складчатые сооружения, Русская платформа также испытала поднятие.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раннем девоне платформа, поднявшаяся в конце каледонского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тект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генеза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еще остается континентом. Ясно выраженное опускание платформы начинается с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эйфельского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века. Оно охватывает восточную половину пла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формы, здесь развивается большая трансгрессия. Это море оставило на в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стоке платформы толщи битуминозных известняков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нефтепроизводящие толщи Волго-Уральской нефтеносной провинции. В центральных частях оно было более мелководное, здесь распространены не карбонатные, а обломо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ные отложения. На западе же развиты преимущественно континентальные красноцветные и лагунные гипсоносные отложения. В конце девона море осталось лишь на юго-востоке платформы.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Тектонические движения в это время отличались </w:t>
      </w:r>
      <w:proofErr w:type="gram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значительной</w:t>
      </w:r>
      <w:proofErr w:type="gram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дифф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ренцированностью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7672">
        <w:rPr>
          <w:rFonts w:ascii="Times New Roman" w:hAnsi="Times New Roman" w:cs="Times New Roman"/>
          <w:sz w:val="28"/>
          <w:szCs w:val="28"/>
        </w:rPr>
        <w:t xml:space="preserve">(рис. </w:t>
      </w:r>
      <w:r w:rsidR="009B7672" w:rsidRPr="009B7672">
        <w:rPr>
          <w:rFonts w:ascii="Times New Roman" w:hAnsi="Times New Roman" w:cs="Times New Roman"/>
          <w:sz w:val="28"/>
          <w:szCs w:val="28"/>
        </w:rPr>
        <w:t>3.</w:t>
      </w:r>
      <w:r w:rsidR="009252B1">
        <w:rPr>
          <w:rFonts w:ascii="Times New Roman" w:hAnsi="Times New Roman" w:cs="Times New Roman"/>
          <w:sz w:val="28"/>
          <w:szCs w:val="28"/>
        </w:rPr>
        <w:t>1</w:t>
      </w:r>
      <w:r w:rsidRPr="009B7672">
        <w:rPr>
          <w:rFonts w:ascii="Times New Roman" w:hAnsi="Times New Roman" w:cs="Times New Roman"/>
          <w:sz w:val="28"/>
          <w:szCs w:val="28"/>
        </w:rPr>
        <w:t xml:space="preserve">).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Балтийский щит испытывал восходящие дв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жения. На юге платформы в среднем девоне образовался Днепровско-Донецкий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авлакоген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>, расчленивший Сарматский щит на юго-западную пол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вину (Украинский щит) и северо-восточную (Воронежскую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антеклизу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>). Ма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симальные погружения испытывали Прикаспийская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синеклиза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Днепровско-Донецкий,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Припятский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Днестровский прогибы. Северо-восточная часть Сарматского щита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 очертаниях современной Волго-Уральской антеклизы вместе с Московской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синеклизой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также была охвачена опусканием. Эне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гично прогибалась и западная часть платформы.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Девонские отложения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распространены на Русской плите очень широко, обнажаясь на поверхности в Прибалтике и Беларуси (Главное девонское п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ле), на северных склонах Воронежской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(Центральное девонское поле), вдоль юго-восточной окраины Балтийского щита, в Приднестровье и вдоль южных окраин Донбасса. В остальных местах девон под покровом б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лее молодых отложений выполняет Днепровско-Донецкий прогиб, Моско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скую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синеклизу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впадины западных районов плиты, повсеместно развит в пределах Волго-Уральской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. Девон чрезвычайно разнообразен в фациальном отношении, а максимальные мощности отложений превышают </w:t>
      </w:r>
      <w:smartTag w:uri="urn:schemas-microsoft-com:office:smarttags" w:element="metricconverter">
        <w:smartTagPr>
          <w:attr w:name="ProductID" w:val="2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2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Начиная с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эйфельского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особенно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веков среднего девона палеогеографическая обстановка резко изменилась, значительные простра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ства Русской плиты стали испытывать погружения. Поскольку трансгрессии в основном распространялись с востока на запад, то в восточных районах преобладают фации открытого моря, а в западных — лагунные и л</w:t>
      </w:r>
      <w:r w:rsidR="00EA1F91">
        <w:rPr>
          <w:rFonts w:ascii="Times New Roman" w:hAnsi="Times New Roman" w:cs="Times New Roman"/>
          <w:color w:val="000000"/>
          <w:sz w:val="28"/>
          <w:szCs w:val="28"/>
        </w:rPr>
        <w:t>агунно-континентальные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 районе Главного девонского поля присутствуют отложения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франского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фаменского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ярусов. Отложения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эйфельского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ярусов с размывом залегают на более древних породах и пре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ставлены красноцветной толщей песчаников и глин, а в средней части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ме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гелей и известняков с линзами соли. Большая часть франского яруса слагае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ся известняками, доломитами и мергелями. Верхи франского и весь фаме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ский ярусы представлены песчано-глинистыми, местами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пестроцветными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ложениями.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Центральном девонском поле непосредственно на породах фунд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мента залегают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эйфельские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песчано-глинисто-карбонатные отложения. Выше располагаются маломощные глинисто-карбонатные отложения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="00EA1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яруса, сменяющиеся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франскими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пестроцветными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галечниками, песчаниками, глинами. Верхняя часть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франского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весь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фаменский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ярусы представлены карбонатной толщей известняков, реже мергелей с тонкими глинистыми пр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слоями. Общая мощность девона в Центральном поле достигает </w:t>
      </w:r>
      <w:smartTag w:uri="urn:schemas-microsoft-com:office:smarttags" w:element="metricconverter">
        <w:smartTagPr>
          <w:attr w:name="ProductID" w:val="0,5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0,5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Восточнее, в Волго-Уральской области, разрез средне-верхнедевонских отложений в целом отличается </w:t>
      </w:r>
      <w:proofErr w:type="gram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вышеописанных более глубоководными, чисто морскими фациями. Отложения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яруса, залегающие с ра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мывом на маломощных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эйфельских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отложениях, представлены в основном темными битуминозными глинистыми известняками. Залегающие выше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франские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в низах слагаются песками, глинами и песчаниками, ч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сто насыщенными нефтью.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Фаменский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 сложен доломитами, реже ме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гелями и известняками.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Особый интерес представляют девонские отложения возрожденного Днепровско-Донецкого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авлакогена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где они образуют мощную толщу в его центральной части, быстро выклинивающуюся к бортам. Средний девон (начиная с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яруса) и низы верхнего представлены соленосной толщей мощностью более </w:t>
      </w:r>
      <w:smartTag w:uri="urn:schemas-microsoft-com:office:smarttags" w:element="metricconverter">
        <w:smartTagPr>
          <w:attr w:name="ProductID" w:val="1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1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. Кроме каменных солей в ней встречаются прослои ангидритов, гипсов, глин.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Фаменский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 слагается очень пестр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ми по составу и фациально изменчивыми отложениями: карбонатно-сульфатными глинами, мергелями, песчаниками и т. д. На крайнем западе, в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Припятском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грабене в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фаменском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ярусе, присутствуют линзы и толщи к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лийных солей.</w:t>
      </w:r>
      <w:r w:rsidRPr="0016211B">
        <w:rPr>
          <w:rFonts w:ascii="Times New Roman" w:hAnsi="Times New Roman" w:cs="Times New Roman"/>
          <w:sz w:val="28"/>
          <w:szCs w:val="28"/>
        </w:rPr>
        <w:t xml:space="preserve"> 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межсолевых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отложениях девона обнаружены месторожд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ния нефти. Суммарная мощность девонских отложений превышает </w:t>
      </w:r>
      <w:smartTag w:uri="urn:schemas-microsoft-com:office:smarttags" w:element="metricconverter">
        <w:smartTagPr>
          <w:attr w:name="ProductID" w:val="2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2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Днепровско-Донецкого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авлакогена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сопровождалось вулканизмом. Так, в районе 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Брагинско-Лоевской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седловины скважинами вскрыты оливиновые и щелочные базальты, трахиты и их туфы, около </w:t>
      </w:r>
      <w:smartTag w:uri="urn:schemas-microsoft-com:office:smarttags" w:element="metricconverter">
        <w:smartTagPr>
          <w:attr w:name="ProductID" w:val="1,8 км"/>
        </w:smartTagPr>
        <w:r w:rsidRPr="0016211B">
          <w:rPr>
            <w:rFonts w:ascii="Times New Roman" w:hAnsi="Times New Roman" w:cs="Times New Roman"/>
            <w:color w:val="000000"/>
            <w:sz w:val="28"/>
            <w:szCs w:val="28"/>
          </w:rPr>
          <w:t>1,8 км</w:t>
        </w:r>
      </w:smartTag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мощностью. Проявление щелочного базальтового вулканизма имело место и в северо-восточной части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Припятского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прогиба.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Франский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век — это время раздробления фундамента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авлакогена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Вулканиты верхнего девона известны и по южным окраинам Донбасса. Скважины вскрыли верхнедевонские базальты и на Волго-Уральской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6211B">
        <w:rPr>
          <w:rFonts w:ascii="Times New Roman" w:hAnsi="Times New Roman" w:cs="Times New Roman"/>
          <w:color w:val="000000"/>
          <w:sz w:val="28"/>
          <w:szCs w:val="28"/>
        </w:rPr>
        <w:t>теклизе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В позднем девоне на Кольском полуострове происходило внедрение кольцевых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интрузий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щелочных пород (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Ловозерский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6211B">
        <w:rPr>
          <w:rFonts w:ascii="Times New Roman" w:hAnsi="Times New Roman" w:cs="Times New Roman"/>
          <w:color w:val="000000"/>
          <w:sz w:val="28"/>
          <w:szCs w:val="28"/>
        </w:rPr>
        <w:t>Хибинский</w:t>
      </w:r>
      <w:proofErr w:type="spellEnd"/>
      <w:r w:rsidRPr="0016211B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массивы).</w:t>
      </w:r>
    </w:p>
    <w:p w:rsidR="00EA0342" w:rsidRPr="0016211B" w:rsidRDefault="00EA0342" w:rsidP="0016211B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342" w:rsidRDefault="00EA0342" w:rsidP="00EA0342">
      <w:pPr>
        <w:autoSpaceDE w:val="0"/>
        <w:autoSpaceDN w:val="0"/>
        <w:adjustRightInd w:val="0"/>
        <w:jc w:val="right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7E765772" wp14:editId="1D05A4A1">
            <wp:extent cx="4678680" cy="501669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191" cy="50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91" w:rsidRDefault="00EA0342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Рисунок </w:t>
      </w:r>
      <w:r w:rsidR="009B7672">
        <w:rPr>
          <w:rFonts w:ascii="Times New Roman" w:hAnsi="Times New Roman" w:cs="Times New Roman"/>
          <w:color w:val="000000"/>
          <w:sz w:val="24"/>
          <w:szCs w:val="24"/>
        </w:rPr>
        <w:t xml:space="preserve">3.1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Основные структуры Восточно-Европейской платформы на герци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ском этапе развития (по М. В. Муратову): 1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области устойчивых поднятий, </w:t>
      </w:r>
      <w:r w:rsidR="006B0C3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ласти умеренных и слабых опусканий; </w:t>
      </w:r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области энергичных опусканий; </w:t>
      </w:r>
      <w:r w:rsidR="006B0C35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 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ге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синклинали; 5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-</m:t>
        </m:r>
      </m:oMath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каледониды; </w:t>
      </w:r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 —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проявления девонского вулканизма; </w:t>
      </w:r>
      <w:r w:rsidR="006B0C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7 — суммарная мощность отложений, </w:t>
      </w:r>
      <w:proofErr w:type="gramStart"/>
      <w:r w:rsidRPr="006B0C35">
        <w:rPr>
          <w:rFonts w:ascii="Times New Roman" w:hAnsi="Times New Roman" w:cs="Times New Roman"/>
          <w:color w:val="000000"/>
          <w:sz w:val="24"/>
          <w:szCs w:val="24"/>
        </w:rPr>
        <w:t>км</w:t>
      </w:r>
      <w:proofErr w:type="gramEnd"/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; 8 — грабены; </w:t>
      </w:r>
      <w:r w:rsidRPr="006B0C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 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— слабые складчатые деформации.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Польско-Литовская </w:t>
      </w:r>
      <w:proofErr w:type="spellStart"/>
      <w:r w:rsidRPr="006B0C35">
        <w:rPr>
          <w:rFonts w:ascii="Times New Roman" w:hAnsi="Times New Roman" w:cs="Times New Roman"/>
          <w:color w:val="000000"/>
          <w:sz w:val="24"/>
          <w:szCs w:val="24"/>
        </w:rPr>
        <w:t>синеклиза</w:t>
      </w:r>
      <w:proofErr w:type="spellEnd"/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Львовская впадина;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Днепровско-Донецкий прогиб;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Московская </w:t>
      </w:r>
      <w:proofErr w:type="spellStart"/>
      <w:r w:rsidRPr="006B0C35">
        <w:rPr>
          <w:rFonts w:ascii="Times New Roman" w:hAnsi="Times New Roman" w:cs="Times New Roman"/>
          <w:color w:val="000000"/>
          <w:sz w:val="24"/>
          <w:szCs w:val="24"/>
        </w:rPr>
        <w:t>синеклиза</w:t>
      </w:r>
      <w:proofErr w:type="spellEnd"/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Восточно-Русская впадина; </w:t>
      </w:r>
      <w:r w:rsidRPr="006B0C35">
        <w:rPr>
          <w:rFonts w:ascii="Times New Roman" w:hAnsi="Times New Roman" w:cs="Times New Roman"/>
          <w:color w:val="000000"/>
          <w:sz w:val="24"/>
          <w:szCs w:val="24"/>
          <w:lang w:val="en-US"/>
        </w:rPr>
        <w:t>VI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 — Прикаспи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6B0C35">
        <w:rPr>
          <w:rFonts w:ascii="Times New Roman" w:hAnsi="Times New Roman" w:cs="Times New Roman"/>
          <w:color w:val="000000"/>
          <w:sz w:val="24"/>
          <w:szCs w:val="24"/>
        </w:rPr>
        <w:t xml:space="preserve">ская </w:t>
      </w:r>
      <w:proofErr w:type="spellStart"/>
      <w:r w:rsidRPr="006B0C35">
        <w:rPr>
          <w:rFonts w:ascii="Times New Roman" w:hAnsi="Times New Roman" w:cs="Times New Roman"/>
          <w:color w:val="000000"/>
          <w:sz w:val="24"/>
          <w:szCs w:val="24"/>
        </w:rPr>
        <w:t>синеклиза</w:t>
      </w:r>
      <w:proofErr w:type="spellEnd"/>
    </w:p>
    <w:p w:rsidR="006B0C35" w:rsidRPr="006B0C35" w:rsidRDefault="006B0C35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0C35" w:rsidRPr="006B0C35" w:rsidRDefault="006B0C35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b/>
          <w:iCs/>
          <w:color w:val="000000"/>
          <w:sz w:val="28"/>
          <w:szCs w:val="28"/>
        </w:rPr>
        <w:t>3.3 Поздний палеозой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3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 </w:t>
      </w:r>
      <w:r w:rsidRPr="006B0C3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каменноугольный период 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сохранился примерно тот же структурный план, который сложился к концу девонского времени.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Области максимал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ных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прогибаний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находились в пределах Восточно-Русской впадины, тяготея к Уральской геосинклинали.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Отложения карбона распространены на плите весьма широко, отсутствуя лишь на Балтийском и Украинским щитах, в Пр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балтике, на Воронежской и Белорусской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антеклизах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Во многих местах, где эти отложения перекрыты более молодыми породами, они вскрыты скваж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нами. Среди крупнейших отрицательных структур каменноугольного пери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да можно назвать Днепровско-Донецкий прогиб; на западе платформы фо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мировалась Польско-Литовская, а на востоке — Восточно-Русская впадина.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Тиман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испытывал относительное поднятие. На юго-востоке платформы пр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должала прогибаться Прикаспийская впадина.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>Каменноугольные отложения центральных районов Русской плиты х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рактеризуются преимущественно карбонатными породами, лишь в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нижнем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визе встречаются угленосные, а в низах московского яруса – песчано-глинистые толщи, фиксирующие собой размывы. Максимальные мощности карбона достигают в Московской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синеклизе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4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0,4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а на востоке и юго-востоке плиты превышают </w:t>
      </w:r>
      <w:smartTag w:uri="urn:schemas-microsoft-com:office:smarttags" w:element="metricconverter">
        <w:smartTagPr>
          <w:attr w:name="ProductID" w:val="1,5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1,5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Разрез карбона на западе плиты, в Львовско-Волынском угленосном бассейне, отличается от вышеописанного тем, что в нижнем визе распр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странены известняки, а угли появляются в верхнем визе и в башкирском яр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се среднего карбона, причем угленосная толща достигает </w:t>
      </w:r>
      <w:smartTag w:uri="urn:schemas-microsoft-com:office:smarttags" w:element="metricconverter">
        <w:smartTagPr>
          <w:attr w:name="ProductID" w:val="0,4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0,4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а суммарная мощность карбона — </w:t>
      </w:r>
      <w:smartTag w:uri="urn:schemas-microsoft-com:office:smarttags" w:element="metricconverter">
        <w:smartTagPr>
          <w:attr w:name="ProductID" w:val="1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1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35">
        <w:rPr>
          <w:rFonts w:ascii="Times New Roman" w:hAnsi="Times New Roman" w:cs="Times New Roman"/>
          <w:i/>
          <w:color w:val="000000"/>
          <w:sz w:val="28"/>
          <w:szCs w:val="28"/>
        </w:rPr>
        <w:t>В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0C3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пермский период 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структурный план платформы в целом наследует таковой каменноугольного периода. Во второй половине пермского периода на платформе происходят поднятия, индуцированные орогеническими дв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жениями в замыкающейся Уральской геосинклинали. Область накопления осадков приобретает еще более четкую меридиональную ориентировку, явно тяготея к Уралу. По восточной границе платформы с растущими горными сооружениями Урала в пермское время закладывается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Предуральский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кра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вой прогиб, в процессе своего развития как бы «накатывавшийся» на пла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форму. Как и в каменноугольное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время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максимальная мощность пермских отложений наблюдается на востоке. Пермские морские отложения характ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ризуются довольно бедной фауной, что обусловлено повышенной или пон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женной соленостью бассейнов того времени. Пермские отложения широко распространены в пределах платформы, обнажаются на востоке, юго- и сев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ро-востоке. В Прикаспийской впадине пермские отложения известны в сол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ных куполах. На западе Русской плиты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пермь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известна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в Польско-Литовской и в Днепровско-Донецкой впадинах.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Пермский период на Восточно-Европейской платформе характериз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вался сложной палеогеографической обстановкой, частой миграцией мелк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водных морских бассейнов сначала нормальной солености, затем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солонов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товодных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и, наконец, преобладанием континентальных условий в конце поздней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>, когда почти вся платформа вышла из-под уровня моря и лишь на востоке и юго-востоке осадконакопление еще продолжалось. Пер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ские, особенно верхнепермские, отложения находятся в тесной связи с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лассами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Предуральского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краевого прогиба. 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Нижний отдел пермской системы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литологически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резко отличается от верхнего и представлен преимущественно карбонатными породами, в верхах разреза сильно загипсованными.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Мощность нижнепермских отложений не выходит за пределы первых сотен метров и возрастает лишь на восток.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пермь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повсеместно слагается терригенными породами, лишь в северо-восточных районах казанский ярус представлен известняками и дол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митами. Мощность верхнепермских отложений также составляет первые сотни метров, но резко возрастает на востоке и в Прикаспийской впадине. 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Климат пермского периода был жарким, временами субтропическим, но в целом характеризовался значительной сухостью. На севере преобладали условия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гумидного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климата умеренных широт.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В пермское время имело место проявление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магматизма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на Кольском полуострове, где формировались сложные массивы нефелиновых сиенитов —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Хибинский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Ловозерский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0C35" w:rsidRPr="006B0C35" w:rsidRDefault="006B0C35" w:rsidP="006B0C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b/>
          <w:iCs/>
          <w:color w:val="000000"/>
          <w:sz w:val="28"/>
          <w:szCs w:val="28"/>
        </w:rPr>
        <w:t>3.4 Триас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B0C3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Отложения триасовой системы 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тесно связаны с отложениями тата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ского яруса верхней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Поднятия в конце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вновь сменились опу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каниями, но осадконакопление в раннем триасе происходило на значительно меньшей площади. Восточно-Русская впадина распалась на несколько изол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впадин. Начала оформляться Волго-Уральская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антеклиза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>. Отлож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ния нижнего триаса залегают местами с размывом на более древних породах, шире всего они распространены на поверхности в северо-восточной части Московской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синеклизы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. Они развиты в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Прикаспийской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Днепровско-Донецкой и в Польско-Литовской впадинах. Повсеместно, кроме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Прикаспия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нижний триас представлен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пестроцветными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континентальными отложени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6B0C3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сложенными песчаниками, глинами, мергелями, редко озерными извес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няками. Обломочный материал приносился с востока, с разрушающихся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леоуральских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гор, а также с Балтийского и Украинского щитов и растущих </w:t>
      </w:r>
      <w:proofErr w:type="gram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Воронежской</w:t>
      </w:r>
      <w:proofErr w:type="gram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, Волго-Уральской и Белорусской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антеклиз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. Мощность </w:t>
      </w:r>
      <w:proofErr w:type="spellStart"/>
      <w:r w:rsidRPr="006B0C35">
        <w:rPr>
          <w:rFonts w:ascii="Times New Roman" w:hAnsi="Times New Roman" w:cs="Times New Roman"/>
          <w:color w:val="000000"/>
          <w:sz w:val="28"/>
          <w:szCs w:val="28"/>
        </w:rPr>
        <w:t>пестр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цветов</w:t>
      </w:r>
      <w:proofErr w:type="spellEnd"/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 на северо-востоке составляет </w:t>
      </w:r>
      <w:smartTag w:uri="urn:schemas-microsoft-com:office:smarttags" w:element="metricconverter">
        <w:smartTagPr>
          <w:attr w:name="ProductID" w:val="0,15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0,15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>, а в Днепровско-Донецкой вп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дине увеличивается до </w:t>
      </w:r>
      <w:smartTag w:uri="urn:schemas-microsoft-com:office:smarttags" w:element="metricconverter">
        <w:smartTagPr>
          <w:attr w:name="ProductID" w:val="0,6 км"/>
        </w:smartTagPr>
        <w:r w:rsidRPr="006B0C35">
          <w:rPr>
            <w:rFonts w:ascii="Times New Roman" w:hAnsi="Times New Roman" w:cs="Times New Roman"/>
            <w:color w:val="000000"/>
            <w:sz w:val="28"/>
            <w:szCs w:val="28"/>
          </w:rPr>
          <w:t>0,6 км</w:t>
        </w:r>
      </w:smartTag>
      <w:r w:rsidRPr="006B0C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A0342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>В среднем триасе почти вся территория платформы была охвачена по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нятиями, кроме Прикаспийской впадины. Имеются данные о наличии отл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B0C35">
        <w:rPr>
          <w:rFonts w:ascii="Times New Roman" w:hAnsi="Times New Roman" w:cs="Times New Roman"/>
          <w:color w:val="000000"/>
          <w:sz w:val="28"/>
          <w:szCs w:val="28"/>
        </w:rPr>
        <w:t>жений среднего триаса в Днепровско-Донецкой впадине.</w:t>
      </w:r>
    </w:p>
    <w:p w:rsidR="00EA1F91" w:rsidRPr="006B0C35" w:rsidRDefault="00EA0342" w:rsidP="006B0C3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6B0C35">
        <w:rPr>
          <w:rFonts w:ascii="Times New Roman" w:hAnsi="Times New Roman" w:cs="Times New Roman"/>
          <w:color w:val="000000"/>
          <w:sz w:val="28"/>
          <w:szCs w:val="28"/>
        </w:rPr>
        <w:t>Верхний триас в виде маломощных глинистых отложений с прослоями песчаников известен в Днепровско-Донецкой впадине и в Прибалтике.</w:t>
      </w:r>
    </w:p>
    <w:sectPr w:rsidR="00EA1F91" w:rsidRPr="006B0C35" w:rsidSect="009B7672">
      <w:footerReference w:type="default" r:id="rId10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41" w:rsidRDefault="00DC6741">
      <w:pPr>
        <w:spacing w:after="0" w:line="240" w:lineRule="auto"/>
      </w:pPr>
      <w:r>
        <w:separator/>
      </w:r>
    </w:p>
  </w:endnote>
  <w:endnote w:type="continuationSeparator" w:id="0">
    <w:p w:rsidR="00DC6741" w:rsidRDefault="00DC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772017"/>
      <w:docPartObj>
        <w:docPartGallery w:val="Page Numbers (Bottom of Page)"/>
        <w:docPartUnique/>
      </w:docPartObj>
    </w:sdtPr>
    <w:sdtContent>
      <w:p w:rsidR="009B7672" w:rsidRDefault="009B767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06A">
          <w:rPr>
            <w:noProof/>
          </w:rPr>
          <w:t>21</w:t>
        </w:r>
        <w:r>
          <w:fldChar w:fldCharType="end"/>
        </w:r>
      </w:p>
    </w:sdtContent>
  </w:sdt>
  <w:p w:rsidR="009B7672" w:rsidRDefault="009B767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41" w:rsidRDefault="00DC6741">
      <w:pPr>
        <w:spacing w:after="0" w:line="240" w:lineRule="auto"/>
      </w:pPr>
      <w:r>
        <w:separator/>
      </w:r>
    </w:p>
  </w:footnote>
  <w:footnote w:type="continuationSeparator" w:id="0">
    <w:p w:rsidR="00DC6741" w:rsidRDefault="00DC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0753"/>
    <w:multiLevelType w:val="hybridMultilevel"/>
    <w:tmpl w:val="48568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42"/>
    <w:rsid w:val="000906B5"/>
    <w:rsid w:val="0016211B"/>
    <w:rsid w:val="001B0EFC"/>
    <w:rsid w:val="003C7BDE"/>
    <w:rsid w:val="004C4DE4"/>
    <w:rsid w:val="004F21E1"/>
    <w:rsid w:val="00551712"/>
    <w:rsid w:val="006B0C35"/>
    <w:rsid w:val="009252B1"/>
    <w:rsid w:val="009B7672"/>
    <w:rsid w:val="00A9406A"/>
    <w:rsid w:val="00DC4A75"/>
    <w:rsid w:val="00DC6741"/>
    <w:rsid w:val="00E71C2D"/>
    <w:rsid w:val="00EA0342"/>
    <w:rsid w:val="00EA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0342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A0342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EA03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A03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A0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42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51712"/>
    <w:rPr>
      <w:color w:val="808080"/>
    </w:rPr>
  </w:style>
  <w:style w:type="paragraph" w:styleId="ab">
    <w:name w:val="footer"/>
    <w:basedOn w:val="a"/>
    <w:link w:val="ac"/>
    <w:uiPriority w:val="99"/>
    <w:unhideWhenUsed/>
    <w:rsid w:val="009B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7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0342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A0342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EA03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A03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A0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42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51712"/>
    <w:rPr>
      <w:color w:val="808080"/>
    </w:rPr>
  </w:style>
  <w:style w:type="paragraph" w:styleId="ab">
    <w:name w:val="footer"/>
    <w:basedOn w:val="a"/>
    <w:link w:val="ac"/>
    <w:uiPriority w:val="99"/>
    <w:unhideWhenUsed/>
    <w:rsid w:val="009B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7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8A12C-050A-4426-AEDA-1676230F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2438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11</cp:revision>
  <dcterms:created xsi:type="dcterms:W3CDTF">2008-05-13T22:15:00Z</dcterms:created>
  <dcterms:modified xsi:type="dcterms:W3CDTF">2008-05-13T23:53:00Z</dcterms:modified>
</cp:coreProperties>
</file>